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B387" w14:textId="051F17C8" w:rsidR="007672DC" w:rsidRDefault="00CB063B" w:rsidP="00CB063B">
      <w:r>
        <w:t>LMT</w:t>
      </w:r>
    </w:p>
    <w:p w14:paraId="6F9E6A9E" w14:textId="6EB58975" w:rsidR="00CB063B" w:rsidRDefault="00CB063B" w:rsidP="00CB063B">
      <w:r>
        <w:t>Legislation and regulations</w:t>
      </w:r>
    </w:p>
    <w:p w14:paraId="5476FDA5" w14:textId="1F88CAB0" w:rsidR="00CB063B" w:rsidRDefault="00CB063B" w:rsidP="00CB063B">
      <w:pPr>
        <w:pStyle w:val="contentelement-indenttwo"/>
        <w:shd w:val="clear" w:color="auto" w:fill="FFFFFF"/>
        <w:spacing w:before="0" w:beforeAutospacing="0" w:after="240" w:afterAutospacing="0"/>
        <w:ind w:left="936"/>
        <w:rPr>
          <w:rFonts w:ascii="Open Sans" w:hAnsi="Open Sans" w:cs="Open Sans"/>
          <w:color w:val="000000"/>
          <w:sz w:val="23"/>
          <w:szCs w:val="23"/>
        </w:rPr>
      </w:pPr>
      <w:r>
        <w:rPr>
          <w:rStyle w:val="Emphasis"/>
          <w:rFonts w:ascii="Open Sans" w:hAnsi="Open Sans" w:cs="Open Sans"/>
          <w:color w:val="000000"/>
          <w:sz w:val="23"/>
          <w:szCs w:val="23"/>
        </w:rPr>
        <w:t>Labour market testing condition</w:t>
      </w:r>
      <w:bookmarkStart w:id="0" w:name="labourmarkettestingcondition"/>
      <w:bookmarkEnd w:id="0"/>
      <w:r w:rsidR="004915F5">
        <w:rPr>
          <w:rStyle w:val="Emphasis"/>
          <w:rFonts w:ascii="Open Sans" w:hAnsi="Open Sans" w:cs="Open Sans"/>
          <w:color w:val="000000"/>
          <w:sz w:val="23"/>
          <w:szCs w:val="23"/>
        </w:rPr>
        <w:t xml:space="preserve"> – Section 140GBA</w:t>
      </w:r>
    </w:p>
    <w:p w14:paraId="73ED8133" w14:textId="77777777" w:rsidR="00CB063B" w:rsidRDefault="00CB063B" w:rsidP="00CB063B">
      <w:pPr>
        <w:pStyle w:val="contentelement-indentone"/>
        <w:shd w:val="clear" w:color="auto" w:fill="FFFFFF"/>
        <w:spacing w:before="0" w:beforeAutospacing="0" w:after="240" w:afterAutospacing="0"/>
        <w:ind w:left="468"/>
        <w:rPr>
          <w:rFonts w:ascii="Open Sans" w:hAnsi="Open Sans" w:cs="Open Sans"/>
          <w:color w:val="000000"/>
          <w:sz w:val="23"/>
          <w:szCs w:val="23"/>
        </w:rPr>
      </w:pPr>
      <w:bookmarkStart w:id="1" w:name="140GBA3"/>
      <w:bookmarkEnd w:id="1"/>
      <w:r>
        <w:rPr>
          <w:rStyle w:val="Strong"/>
          <w:rFonts w:ascii="Open Sans" w:hAnsi="Open Sans" w:cs="Open Sans"/>
          <w:color w:val="000000"/>
          <w:sz w:val="23"/>
          <w:szCs w:val="23"/>
        </w:rPr>
        <w:t>(3)</w:t>
      </w:r>
      <w:r>
        <w:rPr>
          <w:rFonts w:ascii="Open Sans" w:hAnsi="Open Sans" w:cs="Open Sans"/>
          <w:color w:val="000000"/>
          <w:sz w:val="23"/>
          <w:szCs w:val="23"/>
        </w:rPr>
        <w:t>  The labour market testing condition is satisfied if:</w:t>
      </w:r>
    </w:p>
    <w:p w14:paraId="79826EB2" w14:textId="77777777" w:rsidR="00CB063B" w:rsidRDefault="00CB063B" w:rsidP="00CB063B">
      <w:pPr>
        <w:pStyle w:val="contentelement-indenttwo"/>
        <w:shd w:val="clear" w:color="auto" w:fill="FFFFFF"/>
        <w:spacing w:before="240" w:beforeAutospacing="0" w:after="240" w:afterAutospacing="0"/>
        <w:ind w:left="936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(a)  the Minister is satisfied that the person has undertaken</w:t>
      </w:r>
      <w:hyperlink r:id="rId7" w:anchor="labourmarkettesting" w:history="1">
        <w:r>
          <w:rPr>
            <w:rStyle w:val="Hyperlink"/>
            <w:rFonts w:ascii="Open Sans" w:hAnsi="Open Sans" w:cs="Open Sans"/>
            <w:color w:val="007AC3"/>
            <w:sz w:val="23"/>
            <w:szCs w:val="23"/>
          </w:rPr>
          <w:t> labour market testing </w:t>
        </w:r>
      </w:hyperlink>
      <w:r>
        <w:rPr>
          <w:rFonts w:ascii="Open Sans" w:hAnsi="Open Sans" w:cs="Open Sans"/>
          <w:color w:val="000000"/>
          <w:sz w:val="23"/>
          <w:szCs w:val="23"/>
        </w:rPr>
        <w:t>in relation to the nominated position within a period determined under subsection (4) in relation to the nominated occupation; and</w:t>
      </w:r>
    </w:p>
    <w:p w14:paraId="1BDD9588" w14:textId="77777777" w:rsidR="00CB063B" w:rsidRDefault="00CB063B" w:rsidP="00CB063B">
      <w:pPr>
        <w:pStyle w:val="contentelement-indenttwo"/>
        <w:shd w:val="clear" w:color="auto" w:fill="FFFFFF"/>
        <w:spacing w:before="240" w:beforeAutospacing="0" w:after="240" w:afterAutospacing="0"/>
        <w:ind w:left="936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(aa)  the labour market testing in relation to the nominated position was undertaken in the manner determined under subsection (5); and</w:t>
      </w:r>
    </w:p>
    <w:p w14:paraId="1EBE476B" w14:textId="77777777" w:rsidR="00CB063B" w:rsidRDefault="00CB063B" w:rsidP="00CB063B">
      <w:pPr>
        <w:pStyle w:val="contentelement-indenttwo"/>
        <w:shd w:val="clear" w:color="auto" w:fill="FFFFFF"/>
        <w:spacing w:before="0" w:beforeAutospacing="0" w:after="240" w:afterAutospacing="0"/>
        <w:ind w:left="936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(b)  the nomination is accompanied by: </w:t>
      </w:r>
      <w:bookmarkStart w:id="2" w:name="140GBA(3)(b)"/>
      <w:bookmarkEnd w:id="2"/>
    </w:p>
    <w:p w14:paraId="04C69284" w14:textId="77777777" w:rsidR="00CB063B" w:rsidRDefault="00CB063B" w:rsidP="00CB063B">
      <w:pPr>
        <w:pStyle w:val="contentelement-indentthree"/>
        <w:shd w:val="clear" w:color="auto" w:fill="FFFFFF"/>
        <w:spacing w:before="240" w:beforeAutospacing="0" w:after="240" w:afterAutospacing="0"/>
        <w:ind w:left="1404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(i)  evidence in relation to that</w:t>
      </w:r>
      <w:hyperlink r:id="rId8" w:anchor="labourmarkettesting" w:history="1">
        <w:r>
          <w:rPr>
            <w:rStyle w:val="Hyperlink"/>
            <w:rFonts w:ascii="Open Sans" w:hAnsi="Open Sans" w:cs="Open Sans"/>
            <w:color w:val="007AC3"/>
            <w:sz w:val="23"/>
            <w:szCs w:val="23"/>
          </w:rPr>
          <w:t> labour market testing </w:t>
        </w:r>
      </w:hyperlink>
      <w:r>
        <w:rPr>
          <w:rFonts w:ascii="Open Sans" w:hAnsi="Open Sans" w:cs="Open Sans"/>
          <w:color w:val="000000"/>
          <w:sz w:val="23"/>
          <w:szCs w:val="23"/>
        </w:rPr>
        <w:t>of a kind determined under subsection (6A); and</w:t>
      </w:r>
    </w:p>
    <w:p w14:paraId="50EF7FBC" w14:textId="77777777" w:rsidR="00CB063B" w:rsidRDefault="00CB063B" w:rsidP="00CB063B">
      <w:pPr>
        <w:pStyle w:val="contentelement-indentthree"/>
        <w:shd w:val="clear" w:color="auto" w:fill="FFFFFF"/>
        <w:spacing w:before="240" w:beforeAutospacing="0" w:after="240" w:afterAutospacing="0"/>
        <w:ind w:left="1404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(ii)  if one or more Australian citizens or </w:t>
      </w:r>
      <w:hyperlink r:id="rId9" w:anchor="australianpermanentresident" w:history="1">
        <w:r>
          <w:rPr>
            <w:rStyle w:val="Hyperlink"/>
            <w:rFonts w:ascii="Open Sans" w:hAnsi="Open Sans" w:cs="Open Sans"/>
            <w:color w:val="007AC3"/>
            <w:sz w:val="23"/>
            <w:szCs w:val="23"/>
          </w:rPr>
          <w:t>Australian permanent residents </w:t>
        </w:r>
      </w:hyperlink>
      <w:r>
        <w:rPr>
          <w:rFonts w:ascii="Open Sans" w:hAnsi="Open Sans" w:cs="Open Sans"/>
          <w:color w:val="000000"/>
          <w:sz w:val="23"/>
          <w:szCs w:val="23"/>
        </w:rPr>
        <w:t>were, in the previous 4 months, made redundant or retrenched from positions in the nominated occupation in a business, or an associated entity, of the person — information about those redundancies or retrenchments; and</w:t>
      </w:r>
    </w:p>
    <w:p w14:paraId="0F042877" w14:textId="77777777" w:rsidR="00CB063B" w:rsidRDefault="00CB063B" w:rsidP="00CB063B">
      <w:pPr>
        <w:pStyle w:val="contentelement-indenttwo"/>
        <w:shd w:val="clear" w:color="auto" w:fill="FFFFFF"/>
        <w:spacing w:before="0" w:beforeAutospacing="0" w:after="240" w:afterAutospacing="0"/>
        <w:ind w:left="936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(d)  having regard to that evidence, and information (if any), the Minister is satisfied that: </w:t>
      </w:r>
      <w:bookmarkStart w:id="3" w:name="140GBA(3)(d)"/>
      <w:bookmarkEnd w:id="3"/>
    </w:p>
    <w:p w14:paraId="2D91168D" w14:textId="77777777" w:rsidR="00CB063B" w:rsidRDefault="00CB063B" w:rsidP="00CB063B">
      <w:pPr>
        <w:pStyle w:val="contentelement-indentthree"/>
        <w:shd w:val="clear" w:color="auto" w:fill="FFFFFF"/>
        <w:spacing w:before="240" w:beforeAutospacing="0" w:after="240" w:afterAutospacing="0"/>
        <w:ind w:left="1404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(i)  a suitably qualified and experienced Australian citizen or </w:t>
      </w:r>
      <w:hyperlink r:id="rId10" w:anchor="australianpermanentresident" w:history="1">
        <w:r>
          <w:rPr>
            <w:rStyle w:val="Hyperlink"/>
            <w:rFonts w:ascii="Open Sans" w:hAnsi="Open Sans" w:cs="Open Sans"/>
            <w:color w:val="007AC3"/>
            <w:sz w:val="23"/>
            <w:szCs w:val="23"/>
          </w:rPr>
          <w:t>Australian permanent resident </w:t>
        </w:r>
      </w:hyperlink>
      <w:r>
        <w:rPr>
          <w:rFonts w:ascii="Open Sans" w:hAnsi="Open Sans" w:cs="Open Sans"/>
          <w:color w:val="000000"/>
          <w:sz w:val="23"/>
          <w:szCs w:val="23"/>
        </w:rPr>
        <w:t>is not readily available to fill the nominated position; and</w:t>
      </w:r>
    </w:p>
    <w:p w14:paraId="321AF757" w14:textId="77777777" w:rsidR="00CB063B" w:rsidRDefault="00CB063B" w:rsidP="00CB063B">
      <w:pPr>
        <w:pStyle w:val="contentelement-indentthree"/>
        <w:shd w:val="clear" w:color="auto" w:fill="FFFFFF"/>
        <w:spacing w:before="240" w:beforeAutospacing="0" w:after="240" w:afterAutospacing="0"/>
        <w:ind w:left="1404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(ii)  a suitably qualified and experienced </w:t>
      </w:r>
      <w:hyperlink r:id="rId11" w:anchor="eligibletempvisaholder" w:history="1">
        <w:r>
          <w:rPr>
            <w:rStyle w:val="Hyperlink"/>
            <w:rFonts w:ascii="Open Sans" w:hAnsi="Open Sans" w:cs="Open Sans"/>
            <w:color w:val="007AC3"/>
            <w:sz w:val="23"/>
            <w:szCs w:val="23"/>
          </w:rPr>
          <w:t>eligible temporary visa holder </w:t>
        </w:r>
      </w:hyperlink>
      <w:r>
        <w:rPr>
          <w:rFonts w:ascii="Open Sans" w:hAnsi="Open Sans" w:cs="Open Sans"/>
          <w:color w:val="000000"/>
          <w:sz w:val="23"/>
          <w:szCs w:val="23"/>
        </w:rPr>
        <w:t>is not readily available to fill the nominated position.</w:t>
      </w:r>
    </w:p>
    <w:p w14:paraId="4F8F8F75" w14:textId="77777777" w:rsidR="00CB063B" w:rsidRDefault="00CB063B" w:rsidP="00CB063B">
      <w:pPr>
        <w:pStyle w:val="contentelement-indentone"/>
        <w:shd w:val="clear" w:color="auto" w:fill="FFFFFF"/>
        <w:spacing w:before="240" w:beforeAutospacing="0" w:after="240" w:afterAutospacing="0"/>
        <w:ind w:left="468"/>
        <w:rPr>
          <w:rFonts w:ascii="Open Sans" w:hAnsi="Open Sans" w:cs="Open Sans"/>
          <w:color w:val="000000"/>
          <w:sz w:val="23"/>
          <w:szCs w:val="23"/>
        </w:rPr>
      </w:pPr>
      <w:r>
        <w:rPr>
          <w:rStyle w:val="Strong"/>
          <w:rFonts w:ascii="Open Sans" w:hAnsi="Open Sans" w:cs="Open Sans"/>
          <w:color w:val="000000"/>
          <w:sz w:val="23"/>
          <w:szCs w:val="23"/>
        </w:rPr>
        <w:t>(4)</w:t>
      </w:r>
      <w:r>
        <w:rPr>
          <w:rFonts w:ascii="Open Sans" w:hAnsi="Open Sans" w:cs="Open Sans"/>
          <w:color w:val="000000"/>
          <w:sz w:val="23"/>
          <w:szCs w:val="23"/>
        </w:rPr>
        <w:t>  For the purposes of paragraph (3)(a), the Minister may, by </w:t>
      </w:r>
      <w:hyperlink r:id="rId12" w:history="1">
        <w:r>
          <w:rPr>
            <w:rStyle w:val="ms-rtestyle-notelink"/>
            <w:rFonts w:ascii="Open Sans" w:hAnsi="Open Sans" w:cs="Open Sans"/>
            <w:color w:val="000000"/>
            <w:sz w:val="23"/>
            <w:szCs w:val="23"/>
          </w:rPr>
          <w:t> legislative instrument</w:t>
        </w:r>
      </w:hyperlink>
      <w:r>
        <w:rPr>
          <w:rFonts w:ascii="Open Sans" w:hAnsi="Open Sans" w:cs="Open Sans"/>
          <w:color w:val="000000"/>
          <w:sz w:val="23"/>
          <w:szCs w:val="23"/>
        </w:rPr>
        <w:t>, determine a period within which </w:t>
      </w:r>
      <w:hyperlink r:id="rId13" w:anchor="labourmarkettesting" w:history="1">
        <w:r>
          <w:rPr>
            <w:rStyle w:val="Hyperlink"/>
            <w:rFonts w:ascii="Open Sans" w:hAnsi="Open Sans" w:cs="Open Sans"/>
            <w:color w:val="007AC3"/>
            <w:sz w:val="23"/>
            <w:szCs w:val="23"/>
          </w:rPr>
          <w:t>labour market testing </w:t>
        </w:r>
      </w:hyperlink>
      <w:r>
        <w:rPr>
          <w:rFonts w:ascii="Open Sans" w:hAnsi="Open Sans" w:cs="Open Sans"/>
          <w:color w:val="000000"/>
          <w:sz w:val="23"/>
          <w:szCs w:val="23"/>
        </w:rPr>
        <w:t>is required in relation to a nominated occupation. The period must not start earlier than 4 months before the nomination is received by the Minister.</w:t>
      </w:r>
    </w:p>
    <w:p w14:paraId="517F66F3" w14:textId="77777777" w:rsidR="00CB063B" w:rsidRDefault="00CB063B" w:rsidP="00CB063B">
      <w:pPr>
        <w:pStyle w:val="contentelement-indentone"/>
        <w:shd w:val="clear" w:color="auto" w:fill="FFFFFF"/>
        <w:spacing w:before="0" w:beforeAutospacing="0" w:after="240" w:afterAutospacing="0"/>
        <w:ind w:left="468"/>
        <w:rPr>
          <w:rFonts w:ascii="Open Sans" w:hAnsi="Open Sans" w:cs="Open Sans"/>
          <w:color w:val="000000"/>
          <w:sz w:val="23"/>
          <w:szCs w:val="23"/>
        </w:rPr>
      </w:pPr>
      <w:bookmarkStart w:id="4" w:name="140GBA4A"/>
      <w:bookmarkEnd w:id="4"/>
      <w:r>
        <w:rPr>
          <w:rStyle w:val="Strong"/>
          <w:rFonts w:ascii="Open Sans" w:hAnsi="Open Sans" w:cs="Open Sans"/>
          <w:color w:val="000000"/>
          <w:sz w:val="23"/>
          <w:szCs w:val="23"/>
        </w:rPr>
        <w:t>(4A)</w:t>
      </w:r>
      <w:r>
        <w:rPr>
          <w:rFonts w:ascii="Open Sans" w:hAnsi="Open Sans" w:cs="Open Sans"/>
          <w:color w:val="000000"/>
          <w:sz w:val="23"/>
          <w:szCs w:val="23"/>
        </w:rPr>
        <w:t>  Despite paragraph (3)(a) and subsection (4), if there have been redundancies or retrenchments as mentioned in subparagraph (3)(b)(ii), the labour market testing must be undertaken after those redundancies and retrenchments.</w:t>
      </w:r>
    </w:p>
    <w:p w14:paraId="1F9D6440" w14:textId="77777777" w:rsidR="00CB063B" w:rsidRDefault="00CB063B" w:rsidP="00CB063B">
      <w:pPr>
        <w:pStyle w:val="contentelement-indenttwo"/>
        <w:shd w:val="clear" w:color="auto" w:fill="FFFFFF"/>
        <w:spacing w:before="240" w:beforeAutospacing="0" w:after="240" w:afterAutospacing="0"/>
        <w:ind w:left="936"/>
        <w:rPr>
          <w:rFonts w:ascii="Open Sans" w:hAnsi="Open Sans" w:cs="Open Sans"/>
          <w:color w:val="000000"/>
          <w:sz w:val="23"/>
          <w:szCs w:val="23"/>
        </w:rPr>
      </w:pPr>
      <w:r>
        <w:rPr>
          <w:rStyle w:val="Emphasis"/>
          <w:rFonts w:ascii="Open Sans" w:hAnsi="Open Sans" w:cs="Open Sans"/>
          <w:color w:val="000000"/>
          <w:sz w:val="23"/>
          <w:szCs w:val="23"/>
        </w:rPr>
        <w:t>Evidence of labour market testing</w:t>
      </w:r>
    </w:p>
    <w:p w14:paraId="741BBB45" w14:textId="77777777" w:rsidR="00CB063B" w:rsidRDefault="00CB063B" w:rsidP="00CB063B">
      <w:pPr>
        <w:pStyle w:val="contentelement-indentone"/>
        <w:shd w:val="clear" w:color="auto" w:fill="FFFFFF"/>
        <w:spacing w:before="0" w:beforeAutospacing="0" w:after="240" w:afterAutospacing="0"/>
        <w:ind w:left="468"/>
        <w:rPr>
          <w:rFonts w:ascii="Open Sans" w:hAnsi="Open Sans" w:cs="Open Sans"/>
          <w:color w:val="000000"/>
          <w:sz w:val="23"/>
          <w:szCs w:val="23"/>
        </w:rPr>
      </w:pPr>
      <w:bookmarkStart w:id="5" w:name="140GBA5"/>
      <w:bookmarkEnd w:id="5"/>
      <w:r>
        <w:rPr>
          <w:rStyle w:val="Strong"/>
          <w:rFonts w:ascii="Open Sans" w:hAnsi="Open Sans" w:cs="Open Sans"/>
          <w:color w:val="000000"/>
          <w:sz w:val="23"/>
          <w:szCs w:val="23"/>
        </w:rPr>
        <w:lastRenderedPageBreak/>
        <w:t>(5)</w:t>
      </w:r>
      <w:r>
        <w:rPr>
          <w:rFonts w:ascii="Open Sans" w:hAnsi="Open Sans" w:cs="Open Sans"/>
          <w:color w:val="000000"/>
          <w:sz w:val="23"/>
          <w:szCs w:val="23"/>
        </w:rPr>
        <w:t>  For the purposes of paragraph </w:t>
      </w:r>
      <w:hyperlink r:id="rId14" w:anchor="140GBA3" w:history="1">
        <w:r>
          <w:rPr>
            <w:rStyle w:val="Hyperlink"/>
            <w:rFonts w:ascii="Open Sans" w:hAnsi="Open Sans" w:cs="Open Sans"/>
            <w:color w:val="007AC3"/>
            <w:sz w:val="23"/>
            <w:szCs w:val="23"/>
          </w:rPr>
          <w:t>(3)(aa)</w:t>
        </w:r>
      </w:hyperlink>
      <w:r>
        <w:rPr>
          <w:rFonts w:ascii="Open Sans" w:hAnsi="Open Sans" w:cs="Open Sans"/>
          <w:color w:val="000000"/>
          <w:sz w:val="23"/>
          <w:szCs w:val="23"/>
        </w:rPr>
        <w:t>, the Minister may, by </w:t>
      </w:r>
      <w:hyperlink r:id="rId15" w:history="1">
        <w:r>
          <w:rPr>
            <w:rStyle w:val="ms-rtestyle-notelink"/>
            <w:rFonts w:ascii="Open Sans" w:hAnsi="Open Sans" w:cs="Open Sans"/>
            <w:color w:val="000000"/>
            <w:sz w:val="23"/>
            <w:szCs w:val="23"/>
          </w:rPr>
          <w:t> legislative instrument</w:t>
        </w:r>
      </w:hyperlink>
      <w:r>
        <w:rPr>
          <w:rFonts w:ascii="Open Sans" w:hAnsi="Open Sans" w:cs="Open Sans"/>
          <w:color w:val="000000"/>
          <w:sz w:val="23"/>
          <w:szCs w:val="23"/>
        </w:rPr>
        <w:t>, determine the manner in which labour market testing in relation to a nominated position must be undertaken.</w:t>
      </w:r>
    </w:p>
    <w:p w14:paraId="66EC45F8" w14:textId="77777777" w:rsidR="00CB063B" w:rsidRDefault="00CB063B" w:rsidP="00CB063B">
      <w:pPr>
        <w:pStyle w:val="contentelement-indentone"/>
        <w:shd w:val="clear" w:color="auto" w:fill="FFFFFF"/>
        <w:spacing w:before="0" w:beforeAutospacing="0" w:after="240" w:afterAutospacing="0"/>
        <w:ind w:left="468"/>
        <w:rPr>
          <w:rFonts w:ascii="Open Sans" w:hAnsi="Open Sans" w:cs="Open Sans"/>
          <w:color w:val="000000"/>
          <w:sz w:val="23"/>
          <w:szCs w:val="23"/>
        </w:rPr>
      </w:pPr>
      <w:bookmarkStart w:id="6" w:name="140GBA6"/>
      <w:bookmarkEnd w:id="6"/>
      <w:r>
        <w:rPr>
          <w:rStyle w:val="Strong"/>
          <w:rFonts w:ascii="Open Sans" w:hAnsi="Open Sans" w:cs="Open Sans"/>
          <w:color w:val="000000"/>
          <w:sz w:val="23"/>
          <w:szCs w:val="23"/>
        </w:rPr>
        <w:t>(6)</w:t>
      </w:r>
      <w:r>
        <w:rPr>
          <w:rFonts w:ascii="Open Sans" w:hAnsi="Open Sans" w:cs="Open Sans"/>
          <w:color w:val="000000"/>
          <w:sz w:val="23"/>
          <w:szCs w:val="23"/>
        </w:rPr>
        <w:t>  Without limiting subsection (5), the Minister may determine the following:</w:t>
      </w:r>
    </w:p>
    <w:p w14:paraId="11451755" w14:textId="77777777" w:rsidR="00CB063B" w:rsidRDefault="00CB063B" w:rsidP="00CB063B">
      <w:pPr>
        <w:pStyle w:val="NormalWeb"/>
        <w:shd w:val="clear" w:color="auto" w:fill="FFFFFF"/>
        <w:spacing w:before="240" w:beforeAutospacing="0" w:after="240" w:afterAutospacing="0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(a)  the language to be used for any advertising (paid or unpaid) of the position, and any similar positions, commissioned or authorised by the approved work sponsor;</w:t>
      </w:r>
    </w:p>
    <w:p w14:paraId="229CE25C" w14:textId="77777777" w:rsidR="00CB063B" w:rsidRDefault="00CB063B" w:rsidP="00CB063B">
      <w:pPr>
        <w:pStyle w:val="NormalWeb"/>
        <w:shd w:val="clear" w:color="auto" w:fill="FFFFFF"/>
        <w:spacing w:before="240" w:beforeAutospacing="0" w:after="240" w:afterAutospacing="0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(b)  the method of any such advertising;</w:t>
      </w:r>
    </w:p>
    <w:p w14:paraId="77A4AC06" w14:textId="77777777" w:rsidR="00CB063B" w:rsidRDefault="00CB063B" w:rsidP="00CB063B">
      <w:pPr>
        <w:pStyle w:val="NormalWeb"/>
        <w:shd w:val="clear" w:color="auto" w:fill="FFFFFF"/>
        <w:spacing w:before="240" w:beforeAutospacing="0" w:after="240" w:afterAutospacing="0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(c)  the period during which any such advertising must occur;</w:t>
      </w:r>
    </w:p>
    <w:p w14:paraId="036862C3" w14:textId="77777777" w:rsidR="00CB063B" w:rsidRDefault="00CB063B" w:rsidP="00CB063B">
      <w:pPr>
        <w:pStyle w:val="NormalWeb"/>
        <w:shd w:val="clear" w:color="auto" w:fill="FFFFFF"/>
        <w:spacing w:before="240" w:beforeAutospacing="0" w:after="240" w:afterAutospacing="0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(d)  the duration of any such advertising.</w:t>
      </w:r>
    </w:p>
    <w:p w14:paraId="56A17AA0" w14:textId="77777777" w:rsidR="00CB063B" w:rsidRDefault="00CB063B" w:rsidP="00CB063B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color w:val="000000"/>
          <w:sz w:val="23"/>
          <w:szCs w:val="23"/>
        </w:rPr>
      </w:pPr>
      <w:bookmarkStart w:id="7" w:name="140GBA6AA"/>
      <w:bookmarkEnd w:id="7"/>
      <w:r>
        <w:rPr>
          <w:rStyle w:val="Strong"/>
          <w:rFonts w:ascii="Open Sans" w:hAnsi="Open Sans" w:cs="Open Sans"/>
          <w:color w:val="000000"/>
          <w:sz w:val="23"/>
          <w:szCs w:val="23"/>
        </w:rPr>
        <w:t>(6AA)</w:t>
      </w:r>
      <w:r>
        <w:rPr>
          <w:rFonts w:ascii="Open Sans" w:hAnsi="Open Sans" w:cs="Open Sans"/>
          <w:color w:val="000000"/>
          <w:sz w:val="23"/>
          <w:szCs w:val="23"/>
        </w:rPr>
        <w:t>  The Minister must not make a determination under subsection </w:t>
      </w:r>
      <w:hyperlink r:id="rId16" w:anchor="140GBA5" w:history="1">
        <w:r>
          <w:rPr>
            <w:rStyle w:val="Hyperlink"/>
            <w:rFonts w:ascii="Open Sans" w:hAnsi="Open Sans" w:cs="Open Sans"/>
            <w:color w:val="007AC3"/>
            <w:sz w:val="23"/>
            <w:szCs w:val="23"/>
          </w:rPr>
          <w:t>(5)</w:t>
        </w:r>
      </w:hyperlink>
      <w:r>
        <w:rPr>
          <w:rFonts w:ascii="Open Sans" w:hAnsi="Open Sans" w:cs="Open Sans"/>
          <w:color w:val="000000"/>
          <w:sz w:val="23"/>
          <w:szCs w:val="23"/>
        </w:rPr>
        <w:t> unless the Minister is reasonably satisfied that any advertising of the position undertaken in the determined manner:</w:t>
      </w:r>
    </w:p>
    <w:p w14:paraId="0BEA3747" w14:textId="77777777" w:rsidR="00CB063B" w:rsidRDefault="00CB063B" w:rsidP="00CB063B">
      <w:pPr>
        <w:pStyle w:val="NormalWeb"/>
        <w:shd w:val="clear" w:color="auto" w:fill="FFFFFF"/>
        <w:spacing w:before="240" w:beforeAutospacing="0" w:after="240" w:afterAutospacing="0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(a)  will be targeted in such a way that a significant proportion of suitably qualified and experienced Australian citizens or Australian permanent residents would be likely to be informed about the position; and</w:t>
      </w:r>
    </w:p>
    <w:p w14:paraId="33574887" w14:textId="77777777" w:rsidR="00CB063B" w:rsidRDefault="00CB063B" w:rsidP="00CB063B">
      <w:pPr>
        <w:pStyle w:val="NormalWeb"/>
        <w:shd w:val="clear" w:color="auto" w:fill="FFFFFF"/>
        <w:spacing w:before="240" w:beforeAutospacing="0" w:after="240" w:afterAutospacing="0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(b)  will set out any skills or experience requirements that are appropriate to the position.</w:t>
      </w:r>
    </w:p>
    <w:p w14:paraId="3686438D" w14:textId="77777777" w:rsidR="00CB063B" w:rsidRDefault="00CB063B" w:rsidP="00CB063B">
      <w:pPr>
        <w:pStyle w:val="NormalWeb"/>
        <w:shd w:val="clear" w:color="auto" w:fill="FFFFFF"/>
        <w:spacing w:before="240" w:beforeAutospacing="0" w:after="240" w:afterAutospacing="0"/>
        <w:rPr>
          <w:rFonts w:ascii="Open Sans" w:hAnsi="Open Sans" w:cs="Open Sans"/>
          <w:color w:val="000000"/>
          <w:sz w:val="23"/>
          <w:szCs w:val="23"/>
        </w:rPr>
      </w:pPr>
      <w:r>
        <w:rPr>
          <w:rStyle w:val="Strong"/>
          <w:rFonts w:ascii="Open Sans" w:hAnsi="Open Sans" w:cs="Open Sans"/>
          <w:color w:val="000000"/>
          <w:sz w:val="23"/>
          <w:szCs w:val="23"/>
        </w:rPr>
        <w:t>(6AB)</w:t>
      </w:r>
      <w:r>
        <w:rPr>
          <w:rFonts w:ascii="Open Sans" w:hAnsi="Open Sans" w:cs="Open Sans"/>
          <w:color w:val="000000"/>
          <w:sz w:val="23"/>
          <w:szCs w:val="23"/>
        </w:rPr>
        <w:t>  A duration determined for the purposes of paragraph</w:t>
      </w:r>
      <w:hyperlink r:id="rId17" w:anchor="140GBA6" w:history="1">
        <w:r>
          <w:rPr>
            <w:rStyle w:val="Hyperlink"/>
            <w:rFonts w:ascii="Open Sans" w:hAnsi="Open Sans" w:cs="Open Sans"/>
            <w:color w:val="007AC3"/>
            <w:sz w:val="23"/>
            <w:szCs w:val="23"/>
          </w:rPr>
          <w:t> (6)(</w:t>
        </w:r>
      </w:hyperlink>
      <w:r>
        <w:rPr>
          <w:rFonts w:ascii="Open Sans" w:hAnsi="Open Sans" w:cs="Open Sans"/>
          <w:color w:val="000000"/>
          <w:sz w:val="23"/>
          <w:szCs w:val="23"/>
        </w:rPr>
        <w:t>d) must be at least 4 weeks.</w:t>
      </w:r>
    </w:p>
    <w:p w14:paraId="57DA5043" w14:textId="77777777" w:rsidR="00CB063B" w:rsidRDefault="00CB063B" w:rsidP="00CB063B">
      <w:pPr>
        <w:pStyle w:val="NormalWeb"/>
        <w:shd w:val="clear" w:color="auto" w:fill="FFFFFF"/>
        <w:spacing w:before="240" w:beforeAutospacing="0" w:after="240" w:afterAutospacing="0"/>
        <w:rPr>
          <w:rFonts w:ascii="Open Sans" w:hAnsi="Open Sans" w:cs="Open Sans"/>
          <w:color w:val="000000"/>
          <w:sz w:val="23"/>
          <w:szCs w:val="23"/>
        </w:rPr>
      </w:pPr>
      <w:r>
        <w:rPr>
          <w:rStyle w:val="Strong"/>
          <w:rFonts w:ascii="Open Sans" w:hAnsi="Open Sans" w:cs="Open Sans"/>
          <w:color w:val="000000"/>
          <w:sz w:val="23"/>
          <w:szCs w:val="23"/>
        </w:rPr>
        <w:t>(6A)</w:t>
      </w:r>
      <w:r>
        <w:rPr>
          <w:rFonts w:ascii="Open Sans" w:hAnsi="Open Sans" w:cs="Open Sans"/>
          <w:color w:val="000000"/>
          <w:sz w:val="23"/>
          <w:szCs w:val="23"/>
        </w:rPr>
        <w:t>  For the purposes of subparagraph </w:t>
      </w:r>
      <w:hyperlink r:id="rId18" w:anchor="140GBA3" w:history="1">
        <w:r>
          <w:rPr>
            <w:rStyle w:val="Hyperlink"/>
            <w:rFonts w:ascii="Open Sans" w:hAnsi="Open Sans" w:cs="Open Sans"/>
            <w:color w:val="007AC3"/>
            <w:sz w:val="23"/>
            <w:szCs w:val="23"/>
          </w:rPr>
          <w:t>(3)</w:t>
        </w:r>
      </w:hyperlink>
      <w:r>
        <w:rPr>
          <w:rFonts w:ascii="Open Sans" w:hAnsi="Open Sans" w:cs="Open Sans"/>
          <w:color w:val="000000"/>
          <w:sz w:val="23"/>
          <w:szCs w:val="23"/>
        </w:rPr>
        <w:t>(b)(i), the Minister may, by </w:t>
      </w:r>
      <w:hyperlink r:id="rId19" w:history="1">
        <w:r>
          <w:rPr>
            <w:rStyle w:val="ms-rtestyle-notelink"/>
            <w:rFonts w:ascii="Open Sans" w:hAnsi="Open Sans" w:cs="Open Sans"/>
            <w:color w:val="000000"/>
            <w:sz w:val="23"/>
            <w:szCs w:val="23"/>
          </w:rPr>
          <w:t> legislative instrument</w:t>
        </w:r>
      </w:hyperlink>
      <w:r>
        <w:rPr>
          <w:rFonts w:ascii="Open Sans" w:hAnsi="Open Sans" w:cs="Open Sans"/>
          <w:color w:val="000000"/>
          <w:sz w:val="23"/>
          <w:szCs w:val="23"/>
        </w:rPr>
        <w:t>, determine kinds of evidence that must accompany a nomination.</w:t>
      </w:r>
    </w:p>
    <w:p w14:paraId="6D460496" w14:textId="77777777" w:rsidR="00CB063B" w:rsidRDefault="00CB063B" w:rsidP="00CB063B">
      <w:pPr>
        <w:pStyle w:val="NormalWeb"/>
        <w:shd w:val="clear" w:color="auto" w:fill="FFFFFF"/>
        <w:spacing w:before="240" w:beforeAutospacing="0" w:after="240" w:afterAutospacing="0"/>
        <w:rPr>
          <w:rFonts w:ascii="Open Sans" w:hAnsi="Open Sans" w:cs="Open Sans"/>
          <w:color w:val="000000"/>
          <w:sz w:val="23"/>
          <w:szCs w:val="23"/>
        </w:rPr>
      </w:pPr>
      <w:r>
        <w:rPr>
          <w:rStyle w:val="Strong"/>
          <w:rFonts w:ascii="Open Sans" w:hAnsi="Open Sans" w:cs="Open Sans"/>
          <w:color w:val="000000"/>
          <w:sz w:val="23"/>
          <w:szCs w:val="23"/>
        </w:rPr>
        <w:t>(6B)</w:t>
      </w:r>
      <w:r>
        <w:rPr>
          <w:rFonts w:ascii="Open Sans" w:hAnsi="Open Sans" w:cs="Open Sans"/>
          <w:color w:val="000000"/>
          <w:sz w:val="23"/>
          <w:szCs w:val="23"/>
        </w:rPr>
        <w:t>  Without limiting subsection (6A), the Minister may determine that a copy of any advertising mentioned in subsection (6) must accompany a nomination.</w:t>
      </w:r>
    </w:p>
    <w:p w14:paraId="322ADE10" w14:textId="77777777" w:rsidR="00CB063B" w:rsidRDefault="00CB063B" w:rsidP="00CB063B">
      <w:pPr>
        <w:pStyle w:val="NormalWeb"/>
        <w:shd w:val="clear" w:color="auto" w:fill="FFFFFF"/>
        <w:spacing w:before="240" w:beforeAutospacing="0" w:after="0" w:afterAutospacing="0"/>
        <w:rPr>
          <w:rFonts w:ascii="Open Sans" w:hAnsi="Open Sans" w:cs="Open Sans"/>
          <w:color w:val="000000"/>
          <w:sz w:val="23"/>
          <w:szCs w:val="23"/>
        </w:rPr>
      </w:pPr>
      <w:r>
        <w:rPr>
          <w:rStyle w:val="Strong"/>
          <w:rFonts w:ascii="Open Sans" w:hAnsi="Open Sans" w:cs="Open Sans"/>
          <w:color w:val="000000"/>
          <w:sz w:val="23"/>
          <w:szCs w:val="23"/>
        </w:rPr>
        <w:t>(6C)</w:t>
      </w:r>
      <w:r>
        <w:rPr>
          <w:rFonts w:ascii="Open Sans" w:hAnsi="Open Sans" w:cs="Open Sans"/>
          <w:color w:val="000000"/>
          <w:sz w:val="23"/>
          <w:szCs w:val="23"/>
        </w:rPr>
        <w:t>  Without limiting subsection </w:t>
      </w:r>
      <w:hyperlink r:id="rId20" w:anchor="140GBA5" w:history="1">
        <w:r>
          <w:rPr>
            <w:rStyle w:val="Hyperlink"/>
            <w:rFonts w:ascii="Open Sans" w:hAnsi="Open Sans" w:cs="Open Sans"/>
            <w:color w:val="007AC3"/>
            <w:sz w:val="23"/>
            <w:szCs w:val="23"/>
          </w:rPr>
          <w:t>(5)</w:t>
        </w:r>
      </w:hyperlink>
      <w:r>
        <w:rPr>
          <w:rFonts w:ascii="Open Sans" w:hAnsi="Open Sans" w:cs="Open Sans"/>
          <w:color w:val="000000"/>
          <w:sz w:val="23"/>
          <w:szCs w:val="23"/>
        </w:rPr>
        <w:t> or (6A), the Minister may prescribe different manners or evidence for different nominated positions or classes of nominated positions.</w:t>
      </w:r>
    </w:p>
    <w:p w14:paraId="23C4510B" w14:textId="77777777" w:rsidR="00CB063B" w:rsidRDefault="00CB063B" w:rsidP="00CB063B"/>
    <w:p w14:paraId="271EDA2D" w14:textId="77777777" w:rsidR="004915F5" w:rsidRPr="000A3524" w:rsidRDefault="00CB063B" w:rsidP="004915F5">
      <w:pPr>
        <w:pStyle w:val="LDTitle"/>
      </w:pPr>
      <w:r>
        <w:t>Legislative Instrument</w:t>
      </w:r>
      <w:r w:rsidR="004915F5">
        <w:t xml:space="preserve"> </w:t>
      </w:r>
      <w:bookmarkStart w:id="8" w:name="LIN"/>
      <w:r w:rsidR="004915F5">
        <w:t>LIN 22</w:t>
      </w:r>
      <w:r w:rsidR="004915F5" w:rsidRPr="007C5FDD">
        <w:t>/</w:t>
      </w:r>
      <w:r w:rsidR="004915F5">
        <w:t>064</w:t>
      </w:r>
      <w:bookmarkEnd w:id="8"/>
    </w:p>
    <w:p w14:paraId="65A4BA4D" w14:textId="77777777" w:rsidR="004915F5" w:rsidRPr="009464C5" w:rsidRDefault="004915F5" w:rsidP="004915F5">
      <w:pPr>
        <w:pStyle w:val="LDDescription"/>
        <w:pBdr>
          <w:bottom w:val="none" w:sz="0" w:space="0" w:color="auto"/>
        </w:pBdr>
      </w:pPr>
      <w:bookmarkStart w:id="9" w:name="Title"/>
      <w:r>
        <w:t>Migration (Labour market testing) Amendment Determination (LIN 22/064) 2022</w:t>
      </w:r>
      <w:bookmarkEnd w:id="9"/>
      <w:r>
        <w:t xml:space="preserve"> </w:t>
      </w:r>
    </w:p>
    <w:p w14:paraId="2F202EB6" w14:textId="7B8C0086" w:rsidR="00CB063B" w:rsidRDefault="00CB063B" w:rsidP="00CB063B"/>
    <w:p w14:paraId="3D866097" w14:textId="77777777" w:rsidR="00CB063B" w:rsidRDefault="00CB063B" w:rsidP="00CB063B">
      <w:pPr>
        <w:pStyle w:val="ldsechead"/>
        <w:shd w:val="clear" w:color="auto" w:fill="FFFFFF"/>
        <w:spacing w:before="180" w:beforeAutospacing="0" w:after="60" w:afterAutospacing="0" w:line="235" w:lineRule="atLeast"/>
        <w:ind w:left="737" w:hanging="73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7          The manner in which labour market testing in relation to a nominated position must be undertaken</w:t>
      </w:r>
    </w:p>
    <w:p w14:paraId="67345200" w14:textId="77777777" w:rsidR="00CB063B" w:rsidRDefault="00CB063B" w:rsidP="00CB063B">
      <w:pPr>
        <w:pStyle w:val="ldsec1"/>
        <w:shd w:val="clear" w:color="auto" w:fill="FFFFFF"/>
        <w:spacing w:before="60" w:beforeAutospacing="0" w:after="60" w:afterAutospacing="0"/>
        <w:ind w:left="737" w:hanging="1021"/>
        <w:rPr>
          <w:color w:val="000000"/>
        </w:rPr>
      </w:pPr>
      <w:r>
        <w:rPr>
          <w:color w:val="000000"/>
        </w:rPr>
        <w:t>        (1)     For the purposes of paragraph 140GBA(3)(aa) of the Act, the nominated position must be advertised in Australia in accordance with the requirements under section 8.</w:t>
      </w:r>
    </w:p>
    <w:p w14:paraId="5D3ABF56" w14:textId="77777777" w:rsidR="00CB063B" w:rsidRDefault="00CB063B" w:rsidP="00CB063B">
      <w:pPr>
        <w:pStyle w:val="ldsec1"/>
        <w:shd w:val="clear" w:color="auto" w:fill="FFFFFF"/>
        <w:spacing w:before="60" w:beforeAutospacing="0" w:after="60" w:afterAutospacing="0"/>
        <w:ind w:left="737" w:hanging="1021"/>
        <w:rPr>
          <w:color w:val="000000"/>
        </w:rPr>
      </w:pPr>
      <w:r>
        <w:rPr>
          <w:color w:val="000000"/>
        </w:rPr>
        <w:t>        (2)     Subsection (1) does not apply to a select position.</w:t>
      </w:r>
    </w:p>
    <w:p w14:paraId="31CB3151" w14:textId="77777777" w:rsidR="00CB063B" w:rsidRDefault="00CB063B" w:rsidP="00CB063B">
      <w:pPr>
        <w:pStyle w:val="ldsechead"/>
        <w:shd w:val="clear" w:color="auto" w:fill="FFFFFF"/>
        <w:spacing w:before="180" w:beforeAutospacing="0" w:after="60" w:afterAutospacing="0" w:line="235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8          The advertisement of a nominated position</w:t>
      </w:r>
    </w:p>
    <w:p w14:paraId="5B2FB98E" w14:textId="77777777" w:rsidR="00CB063B" w:rsidRDefault="00CB063B" w:rsidP="00CB063B">
      <w:pPr>
        <w:pStyle w:val="ldsec1"/>
        <w:shd w:val="clear" w:color="auto" w:fill="FFFFFF"/>
        <w:spacing w:before="60" w:beforeAutospacing="0" w:after="60" w:afterAutospacing="0"/>
        <w:ind w:left="737" w:hanging="737"/>
        <w:rPr>
          <w:color w:val="000000"/>
        </w:rPr>
      </w:pPr>
      <w:r>
        <w:rPr>
          <w:color w:val="000000"/>
        </w:rPr>
        <w:t>   (1)     This section is made for the purposes of subsection 7(1).</w:t>
      </w:r>
    </w:p>
    <w:p w14:paraId="50EE6137" w14:textId="77777777" w:rsidR="00CB063B" w:rsidRDefault="00CB063B" w:rsidP="00CB063B">
      <w:pPr>
        <w:pStyle w:val="ldsubsechead"/>
        <w:shd w:val="clear" w:color="auto" w:fill="FFFFFF"/>
        <w:spacing w:before="120" w:beforeAutospacing="0" w:after="0" w:afterAutospacing="0"/>
        <w:ind w:left="73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Language</w:t>
      </w:r>
    </w:p>
    <w:p w14:paraId="641452A5" w14:textId="77777777" w:rsidR="00CB063B" w:rsidRDefault="00CB063B" w:rsidP="00CB063B">
      <w:pPr>
        <w:pStyle w:val="ldsec1"/>
        <w:shd w:val="clear" w:color="auto" w:fill="FFFFFF"/>
        <w:spacing w:before="60" w:beforeAutospacing="0" w:after="60" w:afterAutospacing="0"/>
        <w:ind w:left="737" w:hanging="1021"/>
        <w:rPr>
          <w:color w:val="000000"/>
        </w:rPr>
      </w:pPr>
      <w:r>
        <w:rPr>
          <w:color w:val="000000"/>
        </w:rPr>
        <w:t>        (2)     The language to be used for any advertising (paid or unpaid) of a position, and any similar positions, commissioned or authorised by the approved sponsor is English.</w:t>
      </w:r>
    </w:p>
    <w:p w14:paraId="7AB371B5" w14:textId="77777777" w:rsidR="00CB063B" w:rsidRDefault="00CB063B" w:rsidP="00CB063B">
      <w:pPr>
        <w:pStyle w:val="ldsubsechead"/>
        <w:shd w:val="clear" w:color="auto" w:fill="FFFFFF"/>
        <w:spacing w:before="120" w:beforeAutospacing="0" w:after="0" w:afterAutospacing="0"/>
        <w:ind w:left="73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Method</w:t>
      </w:r>
    </w:p>
    <w:p w14:paraId="511E30ED" w14:textId="77777777" w:rsidR="00CB063B" w:rsidRDefault="00CB063B" w:rsidP="00CB063B">
      <w:pPr>
        <w:pStyle w:val="ldsec1"/>
        <w:shd w:val="clear" w:color="auto" w:fill="FFFFFF"/>
        <w:spacing w:before="60" w:beforeAutospacing="0" w:after="60" w:afterAutospacing="0"/>
        <w:ind w:left="737" w:hanging="1021"/>
        <w:rPr>
          <w:color w:val="000000"/>
        </w:rPr>
      </w:pPr>
      <w:r>
        <w:rPr>
          <w:color w:val="000000"/>
        </w:rPr>
        <w:t>        (3)     The nominated position must be advertised:</w:t>
      </w:r>
    </w:p>
    <w:p w14:paraId="0E47DDD3" w14:textId="77777777" w:rsidR="00CB063B" w:rsidRDefault="00CB063B" w:rsidP="00CB063B">
      <w:pPr>
        <w:pStyle w:val="ldp1a"/>
        <w:shd w:val="clear" w:color="auto" w:fill="FFFFFF"/>
        <w:spacing w:before="60" w:beforeAutospacing="0" w:after="60" w:afterAutospacing="0"/>
        <w:ind w:left="1191" w:hanging="454"/>
        <w:rPr>
          <w:color w:val="000000"/>
        </w:rPr>
      </w:pPr>
      <w:r>
        <w:rPr>
          <w:color w:val="000000"/>
        </w:rPr>
        <w:t>(a)   </w:t>
      </w:r>
      <w:r>
        <w:rPr>
          <w:color w:val="000000"/>
          <w:shd w:val="clear" w:color="auto" w:fill="FFFFFF"/>
        </w:rPr>
        <w:t>on the Australian Government </w:t>
      </w:r>
      <w:r>
        <w:rPr>
          <w:i/>
          <w:iCs/>
          <w:color w:val="000000"/>
          <w:shd w:val="clear" w:color="auto" w:fill="FFFFFF"/>
        </w:rPr>
        <w:t>Workforce Australia</w:t>
      </w:r>
      <w:r>
        <w:rPr>
          <w:color w:val="000000"/>
          <w:shd w:val="clear" w:color="auto" w:fill="FFFFFF"/>
        </w:rPr>
        <w:t> website (https://www.workforceaustralia.gov.au)</w:t>
      </w:r>
      <w:r>
        <w:rPr>
          <w:color w:val="000000"/>
        </w:rPr>
        <w:t>; and</w:t>
      </w:r>
    </w:p>
    <w:p w14:paraId="7615A670" w14:textId="77777777" w:rsidR="00CB063B" w:rsidRDefault="00CB063B" w:rsidP="00CB063B">
      <w:pPr>
        <w:pStyle w:val="ldp1a"/>
        <w:shd w:val="clear" w:color="auto" w:fill="FFFFFF"/>
        <w:spacing w:before="60" w:beforeAutospacing="0" w:after="60" w:afterAutospacing="0"/>
        <w:ind w:left="1191" w:hanging="454"/>
        <w:rPr>
          <w:color w:val="000000"/>
        </w:rPr>
      </w:pPr>
      <w:r>
        <w:rPr>
          <w:color w:val="000000"/>
        </w:rPr>
        <w:t>(b)   in at least 2 advertisements on or in one or more of the following:</w:t>
      </w:r>
    </w:p>
    <w:p w14:paraId="379F1F22" w14:textId="77777777" w:rsidR="00CB063B" w:rsidRDefault="00CB063B" w:rsidP="00CB063B">
      <w:pPr>
        <w:pStyle w:val="ldp2i"/>
        <w:shd w:val="clear" w:color="auto" w:fill="FFFFFF"/>
        <w:spacing w:before="0" w:beforeAutospacing="0" w:after="0" w:afterAutospacing="0"/>
        <w:ind w:left="1588" w:hanging="1134"/>
        <w:rPr>
          <w:color w:val="000000"/>
        </w:rPr>
      </w:pPr>
      <w:r>
        <w:rPr>
          <w:color w:val="000000"/>
        </w:rPr>
        <w:t>             (i)  a recruitment website with national reach in Australia (other than the website mentioned in paragraph (a));</w:t>
      </w:r>
    </w:p>
    <w:p w14:paraId="6E7A2C59" w14:textId="77777777" w:rsidR="00CB063B" w:rsidRDefault="00CB063B" w:rsidP="00CB063B">
      <w:pPr>
        <w:pStyle w:val="ldp2i"/>
        <w:shd w:val="clear" w:color="auto" w:fill="FFFFFF"/>
        <w:spacing w:before="0" w:beforeAutospacing="0" w:after="0" w:afterAutospacing="0"/>
        <w:ind w:left="1588" w:hanging="1134"/>
        <w:rPr>
          <w:color w:val="000000"/>
        </w:rPr>
      </w:pPr>
      <w:r>
        <w:rPr>
          <w:color w:val="000000"/>
        </w:rPr>
        <w:t>            (ii)  print media with national reach in Australia;</w:t>
      </w:r>
    </w:p>
    <w:p w14:paraId="600439BB" w14:textId="77777777" w:rsidR="00CB063B" w:rsidRDefault="00CB063B" w:rsidP="00CB063B">
      <w:pPr>
        <w:pStyle w:val="ldp2i"/>
        <w:shd w:val="clear" w:color="auto" w:fill="FFFFFF"/>
        <w:spacing w:before="0" w:beforeAutospacing="0" w:after="0" w:afterAutospacing="0"/>
        <w:ind w:left="1588" w:hanging="1134"/>
        <w:rPr>
          <w:color w:val="000000"/>
        </w:rPr>
      </w:pPr>
      <w:r>
        <w:rPr>
          <w:color w:val="000000"/>
        </w:rPr>
        <w:t>           (iii)  radio with national reach in Australia;</w:t>
      </w:r>
    </w:p>
    <w:p w14:paraId="1D27AE40" w14:textId="77777777" w:rsidR="00CB063B" w:rsidRDefault="00CB063B" w:rsidP="00CB063B">
      <w:pPr>
        <w:pStyle w:val="ldp2i"/>
        <w:shd w:val="clear" w:color="auto" w:fill="FFFFFF"/>
        <w:spacing w:before="0" w:beforeAutospacing="0" w:after="0" w:afterAutospacing="0"/>
        <w:ind w:left="1588" w:hanging="1134"/>
        <w:rPr>
          <w:color w:val="000000"/>
        </w:rPr>
      </w:pPr>
      <w:r>
        <w:rPr>
          <w:color w:val="000000"/>
        </w:rPr>
        <w:t>           (iv)  if the approved sponsor is an accredited sponsor—the approved sponsor’s website.</w:t>
      </w:r>
    </w:p>
    <w:p w14:paraId="165495A2" w14:textId="77777777" w:rsidR="00CB063B" w:rsidRDefault="00CB063B" w:rsidP="00CB063B">
      <w:pPr>
        <w:pStyle w:val="ldsec1"/>
        <w:shd w:val="clear" w:color="auto" w:fill="FFFFFF"/>
        <w:spacing w:before="60" w:beforeAutospacing="0" w:after="60" w:afterAutospacing="0"/>
        <w:ind w:left="737" w:hanging="1021"/>
        <w:rPr>
          <w:color w:val="000000"/>
        </w:rPr>
      </w:pPr>
      <w:r>
        <w:rPr>
          <w:color w:val="000000"/>
        </w:rPr>
        <w:t>     (3A)     Each advertisement of the nominated position for the purposes of subsection (3) must be commissioned or authorised by the approved sponsor.</w:t>
      </w:r>
    </w:p>
    <w:p w14:paraId="45FD2D29" w14:textId="77777777" w:rsidR="00CB063B" w:rsidRDefault="00CB063B" w:rsidP="00CB063B">
      <w:pPr>
        <w:pStyle w:val="ldsec1"/>
        <w:shd w:val="clear" w:color="auto" w:fill="FFFFFF"/>
        <w:spacing w:before="60" w:beforeAutospacing="0" w:after="60" w:afterAutospacing="0"/>
        <w:ind w:left="737" w:hanging="1021"/>
        <w:rPr>
          <w:color w:val="000000"/>
        </w:rPr>
      </w:pPr>
      <w:r>
        <w:rPr>
          <w:color w:val="000000"/>
        </w:rPr>
        <w:t>        (4)     Each advertisement of the nominated position for the purposes of subsection (3) must include the following details of the position:</w:t>
      </w:r>
    </w:p>
    <w:p w14:paraId="1CBA5869" w14:textId="77777777" w:rsidR="00CB063B" w:rsidRDefault="00CB063B" w:rsidP="00CB063B">
      <w:pPr>
        <w:pStyle w:val="ldp1a"/>
        <w:shd w:val="clear" w:color="auto" w:fill="FFFFFF"/>
        <w:spacing w:before="60" w:beforeAutospacing="0" w:after="60" w:afterAutospacing="0"/>
        <w:ind w:left="1191" w:hanging="454"/>
        <w:rPr>
          <w:color w:val="000000"/>
        </w:rPr>
      </w:pPr>
      <w:r>
        <w:rPr>
          <w:color w:val="000000"/>
        </w:rPr>
        <w:t>(a)   the title or a description of the position;</w:t>
      </w:r>
    </w:p>
    <w:p w14:paraId="33DE77CE" w14:textId="77777777" w:rsidR="00CB063B" w:rsidRDefault="00CB063B" w:rsidP="00CB063B">
      <w:pPr>
        <w:pStyle w:val="ldp1a"/>
        <w:shd w:val="clear" w:color="auto" w:fill="FFFFFF"/>
        <w:spacing w:before="60" w:beforeAutospacing="0" w:after="60" w:afterAutospacing="0"/>
        <w:ind w:left="1191" w:hanging="454"/>
        <w:rPr>
          <w:color w:val="000000"/>
        </w:rPr>
      </w:pPr>
      <w:r>
        <w:rPr>
          <w:color w:val="000000"/>
        </w:rPr>
        <w:t>(b)   the skills or experience required for the position;</w:t>
      </w:r>
    </w:p>
    <w:p w14:paraId="78A6F47F" w14:textId="77777777" w:rsidR="00CB063B" w:rsidRDefault="00CB063B" w:rsidP="00CB063B">
      <w:pPr>
        <w:pStyle w:val="ldp1a"/>
        <w:shd w:val="clear" w:color="auto" w:fill="FFFFFF"/>
        <w:spacing w:before="60" w:beforeAutospacing="0" w:after="60" w:afterAutospacing="0"/>
        <w:ind w:left="1191" w:hanging="454"/>
        <w:rPr>
          <w:color w:val="000000"/>
        </w:rPr>
      </w:pPr>
      <w:r>
        <w:rPr>
          <w:color w:val="000000"/>
        </w:rPr>
        <w:t>(c)   the name of the approved sponsor or, if the approved sponsor has engaged a recruitment agency for the purposes of the labour market testing, the name of the recruitment agency;</w:t>
      </w:r>
    </w:p>
    <w:p w14:paraId="37FEA419" w14:textId="77777777" w:rsidR="00CB063B" w:rsidRDefault="00CB063B" w:rsidP="00CB063B">
      <w:pPr>
        <w:pStyle w:val="ldp1a"/>
        <w:shd w:val="clear" w:color="auto" w:fill="FFFFFF"/>
        <w:spacing w:before="60" w:beforeAutospacing="0" w:after="60" w:afterAutospacing="0"/>
        <w:ind w:left="1191" w:hanging="454"/>
        <w:rPr>
          <w:color w:val="000000"/>
        </w:rPr>
      </w:pPr>
      <w:r>
        <w:rPr>
          <w:color w:val="000000"/>
        </w:rPr>
        <w:t>(d)   the salary for the position, if the intended annual earnings for the nominated position are lower than $96,400.00 AUD.</w:t>
      </w:r>
    </w:p>
    <w:p w14:paraId="3EEA2594" w14:textId="77777777" w:rsidR="00CB063B" w:rsidRDefault="00CB063B" w:rsidP="00CB063B">
      <w:pPr>
        <w:pStyle w:val="ldsubsechead"/>
        <w:shd w:val="clear" w:color="auto" w:fill="FFFFFF"/>
        <w:spacing w:before="120" w:beforeAutospacing="0" w:after="0" w:afterAutospacing="0"/>
        <w:ind w:left="73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Duration</w:t>
      </w:r>
    </w:p>
    <w:p w14:paraId="37B07815" w14:textId="77777777" w:rsidR="00CB063B" w:rsidRDefault="00CB063B" w:rsidP="00CB063B">
      <w:pPr>
        <w:pStyle w:val="ldsec1"/>
        <w:shd w:val="clear" w:color="auto" w:fill="FFFFFF"/>
        <w:spacing w:before="60" w:beforeAutospacing="0" w:after="60" w:afterAutospacing="0"/>
        <w:ind w:left="737" w:hanging="1021"/>
        <w:rPr>
          <w:color w:val="000000"/>
        </w:rPr>
      </w:pPr>
      <w:r>
        <w:rPr>
          <w:color w:val="000000"/>
        </w:rPr>
        <w:t>        (5)     Applications or expressions of interest for an advertised position must be accepted for at least 4 weeks from when an advertisement for the position is first published in accordance with subsections (2) to (4) on or in any of the following:</w:t>
      </w:r>
    </w:p>
    <w:p w14:paraId="07FB84E4" w14:textId="77777777" w:rsidR="00CB063B" w:rsidRPr="00CB063B" w:rsidRDefault="00CB063B" w:rsidP="00CB063B">
      <w:pPr>
        <w:pStyle w:val="ldp1a"/>
        <w:shd w:val="clear" w:color="auto" w:fill="FFFFFF"/>
        <w:spacing w:before="60" w:beforeAutospacing="0" w:after="60" w:afterAutospacing="0"/>
        <w:ind w:left="1191" w:hanging="454"/>
        <w:rPr>
          <w:color w:val="000000"/>
          <w:lang w:val="it-IT"/>
        </w:rPr>
      </w:pPr>
      <w:r w:rsidRPr="00CB063B">
        <w:rPr>
          <w:color w:val="000000"/>
          <w:lang w:val="it-IT"/>
        </w:rPr>
        <w:t>(a)   print media;</w:t>
      </w:r>
    </w:p>
    <w:p w14:paraId="5725C856" w14:textId="77777777" w:rsidR="00CB063B" w:rsidRPr="00CB063B" w:rsidRDefault="00CB063B" w:rsidP="00CB063B">
      <w:pPr>
        <w:pStyle w:val="ldp1a"/>
        <w:shd w:val="clear" w:color="auto" w:fill="FFFFFF"/>
        <w:spacing w:before="60" w:beforeAutospacing="0" w:after="60" w:afterAutospacing="0"/>
        <w:ind w:left="1191" w:hanging="454"/>
        <w:rPr>
          <w:color w:val="000000"/>
          <w:lang w:val="it-IT"/>
        </w:rPr>
      </w:pPr>
      <w:r w:rsidRPr="00CB063B">
        <w:rPr>
          <w:color w:val="000000"/>
          <w:lang w:val="it-IT"/>
        </w:rPr>
        <w:t>(b)   radio;</w:t>
      </w:r>
    </w:p>
    <w:p w14:paraId="5F837D35" w14:textId="77777777" w:rsidR="00CB063B" w:rsidRDefault="00CB063B" w:rsidP="00CB063B">
      <w:pPr>
        <w:pStyle w:val="ldp1a"/>
        <w:shd w:val="clear" w:color="auto" w:fill="FFFFFF"/>
        <w:spacing w:before="60" w:beforeAutospacing="0" w:after="60" w:afterAutospacing="0"/>
        <w:ind w:left="1191" w:hanging="454"/>
        <w:rPr>
          <w:color w:val="000000"/>
        </w:rPr>
      </w:pPr>
      <w:r>
        <w:rPr>
          <w:color w:val="000000"/>
        </w:rPr>
        <w:t>(c)   website.</w:t>
      </w:r>
    </w:p>
    <w:p w14:paraId="52673EA8" w14:textId="77777777" w:rsidR="00CB063B" w:rsidRDefault="00CB063B" w:rsidP="00CB063B">
      <w:pPr>
        <w:pStyle w:val="ldsechead"/>
        <w:shd w:val="clear" w:color="auto" w:fill="FFFFFF"/>
        <w:spacing w:before="180" w:beforeAutospacing="0" w:after="60" w:afterAutospacing="0" w:line="235" w:lineRule="atLeast"/>
        <w:ind w:left="737" w:hanging="73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9          Kinds of evidence in relation to labour market testing that must accompany a nomination</w:t>
      </w:r>
    </w:p>
    <w:p w14:paraId="5DDB9C27" w14:textId="77777777" w:rsidR="00CB063B" w:rsidRDefault="00CB063B" w:rsidP="00CB063B">
      <w:pPr>
        <w:pStyle w:val="ldsec1"/>
        <w:shd w:val="clear" w:color="auto" w:fill="FFFFFF"/>
        <w:spacing w:before="60" w:beforeAutospacing="0" w:after="60" w:afterAutospacing="0"/>
        <w:ind w:left="737" w:hanging="1021"/>
        <w:rPr>
          <w:color w:val="000000"/>
        </w:rPr>
      </w:pPr>
      <w:r>
        <w:rPr>
          <w:color w:val="000000"/>
        </w:rPr>
        <w:t>        (1)     This section is made for the purposes of subparagraph 140GBA(3) and subsection 140GBA(6A) of the Act.</w:t>
      </w:r>
    </w:p>
    <w:p w14:paraId="4D027E4D" w14:textId="77777777" w:rsidR="00CB063B" w:rsidRDefault="00CB063B" w:rsidP="00CB063B">
      <w:pPr>
        <w:pStyle w:val="ldsec1"/>
        <w:shd w:val="clear" w:color="auto" w:fill="FFFFFF"/>
        <w:spacing w:before="60" w:beforeAutospacing="0" w:after="60" w:afterAutospacing="0"/>
        <w:ind w:left="737" w:hanging="1021"/>
        <w:rPr>
          <w:color w:val="000000"/>
        </w:rPr>
      </w:pPr>
      <w:r>
        <w:rPr>
          <w:color w:val="000000"/>
        </w:rPr>
        <w:lastRenderedPageBreak/>
        <w:t>        (2)     The kind of evidence that must accompany a nomination for a select occupation, or a select position is a written submission made by the nominator that provides reasons why a suitably qualified and experienced Australian citizen or Australian permanent resident, or suitably qualified and experienced eligible temporary visa holder, is not readily available to fill the nominated position.</w:t>
      </w:r>
    </w:p>
    <w:p w14:paraId="73B42CA8" w14:textId="77777777" w:rsidR="00CB063B" w:rsidRDefault="00CB063B" w:rsidP="00CB063B">
      <w:pPr>
        <w:pStyle w:val="ldsec1"/>
        <w:shd w:val="clear" w:color="auto" w:fill="FFFFFF"/>
        <w:spacing w:before="60" w:beforeAutospacing="0" w:after="60" w:afterAutospacing="0"/>
        <w:ind w:left="737" w:hanging="1021"/>
        <w:rPr>
          <w:color w:val="000000"/>
        </w:rPr>
      </w:pPr>
      <w:r>
        <w:rPr>
          <w:color w:val="000000"/>
        </w:rPr>
        <w:t>        (3)     The kind of evidence that must accompany any other nomination is a copy of the advertising material used to advertise the position.</w:t>
      </w:r>
    </w:p>
    <w:p w14:paraId="7F5443CC" w14:textId="77777777" w:rsidR="00CB063B" w:rsidRPr="00CB063B" w:rsidRDefault="00CB063B" w:rsidP="00CB063B"/>
    <w:sectPr w:rsidR="00CB063B" w:rsidRPr="00CB0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DC"/>
    <w:rsid w:val="004915F5"/>
    <w:rsid w:val="0053712B"/>
    <w:rsid w:val="00604E52"/>
    <w:rsid w:val="007672DC"/>
    <w:rsid w:val="009B7E6D"/>
    <w:rsid w:val="00CB063B"/>
    <w:rsid w:val="00CE17E8"/>
    <w:rsid w:val="00D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853FB"/>
  <w15:chartTrackingRefBased/>
  <w15:docId w15:val="{9E16ACC3-7D90-4F38-ADB0-A9049FFF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A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sechead">
    <w:name w:val="ldsechead"/>
    <w:basedOn w:val="Normal"/>
    <w:rsid w:val="00CB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 w:bidi="ar-SA"/>
      <w14:ligatures w14:val="none"/>
    </w:rPr>
  </w:style>
  <w:style w:type="paragraph" w:customStyle="1" w:styleId="ldsec1">
    <w:name w:val="ldsec1"/>
    <w:basedOn w:val="Normal"/>
    <w:rsid w:val="00CB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 w:bidi="ar-SA"/>
      <w14:ligatures w14:val="none"/>
    </w:rPr>
  </w:style>
  <w:style w:type="paragraph" w:customStyle="1" w:styleId="ldsubsechead">
    <w:name w:val="ldsubsechead"/>
    <w:basedOn w:val="Normal"/>
    <w:rsid w:val="00CB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 w:bidi="ar-SA"/>
      <w14:ligatures w14:val="none"/>
    </w:rPr>
  </w:style>
  <w:style w:type="paragraph" w:customStyle="1" w:styleId="ldp1a">
    <w:name w:val="ldp1a"/>
    <w:basedOn w:val="Normal"/>
    <w:rsid w:val="00CB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 w:bidi="ar-SA"/>
      <w14:ligatures w14:val="none"/>
    </w:rPr>
  </w:style>
  <w:style w:type="paragraph" w:customStyle="1" w:styleId="ldp2i">
    <w:name w:val="ldp2i"/>
    <w:basedOn w:val="Normal"/>
    <w:rsid w:val="00CB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 w:bidi="ar-SA"/>
      <w14:ligatures w14:val="none"/>
    </w:rPr>
  </w:style>
  <w:style w:type="paragraph" w:customStyle="1" w:styleId="ldamendinstruction">
    <w:name w:val="ldamendinstruction"/>
    <w:basedOn w:val="Normal"/>
    <w:rsid w:val="00CB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 w:bidi="ar-SA"/>
      <w14:ligatures w14:val="none"/>
    </w:rPr>
  </w:style>
  <w:style w:type="paragraph" w:customStyle="1" w:styleId="ldamendtext">
    <w:name w:val="ldamendtext"/>
    <w:basedOn w:val="Normal"/>
    <w:rsid w:val="00CB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 w:bidi="ar-SA"/>
      <w14:ligatures w14:val="none"/>
    </w:rPr>
  </w:style>
  <w:style w:type="paragraph" w:customStyle="1" w:styleId="contentelement-indenttwo">
    <w:name w:val="contentelement-indenttwo"/>
    <w:basedOn w:val="Normal"/>
    <w:rsid w:val="00CB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 w:bidi="ar-SA"/>
      <w14:ligatures w14:val="none"/>
    </w:rPr>
  </w:style>
  <w:style w:type="character" w:styleId="Emphasis">
    <w:name w:val="Emphasis"/>
    <w:basedOn w:val="DefaultParagraphFont"/>
    <w:uiPriority w:val="20"/>
    <w:qFormat/>
    <w:rsid w:val="00CB063B"/>
    <w:rPr>
      <w:i/>
      <w:iCs/>
    </w:rPr>
  </w:style>
  <w:style w:type="paragraph" w:customStyle="1" w:styleId="contentelement-indentone">
    <w:name w:val="contentelement-indentone"/>
    <w:basedOn w:val="Normal"/>
    <w:rsid w:val="00CB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 w:bidi="ar-SA"/>
      <w14:ligatures w14:val="none"/>
    </w:rPr>
  </w:style>
  <w:style w:type="character" w:styleId="Strong">
    <w:name w:val="Strong"/>
    <w:basedOn w:val="DefaultParagraphFont"/>
    <w:uiPriority w:val="22"/>
    <w:qFormat/>
    <w:rsid w:val="00CB063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B063B"/>
    <w:rPr>
      <w:color w:val="0000FF"/>
      <w:u w:val="single"/>
    </w:rPr>
  </w:style>
  <w:style w:type="paragraph" w:customStyle="1" w:styleId="contentelement-indentthree">
    <w:name w:val="contentelement-indentthree"/>
    <w:basedOn w:val="Normal"/>
    <w:rsid w:val="00CB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 w:bidi="ar-SA"/>
      <w14:ligatures w14:val="none"/>
    </w:rPr>
  </w:style>
  <w:style w:type="character" w:customStyle="1" w:styleId="ms-rtestyle-notelink">
    <w:name w:val="ms-rtestyle-notelink"/>
    <w:basedOn w:val="DefaultParagraphFont"/>
    <w:rsid w:val="00CB063B"/>
  </w:style>
  <w:style w:type="paragraph" w:styleId="NormalWeb">
    <w:name w:val="Normal (Web)"/>
    <w:basedOn w:val="Normal"/>
    <w:uiPriority w:val="99"/>
    <w:semiHidden/>
    <w:unhideWhenUsed/>
    <w:rsid w:val="00CB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 w:bidi="ar-SA"/>
      <w14:ligatures w14:val="none"/>
    </w:rPr>
  </w:style>
  <w:style w:type="paragraph" w:customStyle="1" w:styleId="LDDescription">
    <w:name w:val="LD Description"/>
    <w:rsid w:val="004915F5"/>
    <w:pPr>
      <w:pBdr>
        <w:bottom w:val="single" w:sz="4" w:space="3" w:color="auto"/>
      </w:pBdr>
      <w:spacing w:before="600" w:after="120" w:line="240" w:lineRule="auto"/>
    </w:pPr>
    <w:rPr>
      <w:rFonts w:ascii="Arial" w:eastAsia="Times New Roman" w:hAnsi="Arial" w:cs="Times New Roman"/>
      <w:b/>
      <w:kern w:val="0"/>
      <w:sz w:val="24"/>
      <w:szCs w:val="24"/>
      <w:lang w:bidi="ar-SA"/>
      <w14:ligatures w14:val="none"/>
    </w:rPr>
  </w:style>
  <w:style w:type="paragraph" w:customStyle="1" w:styleId="LDTitle">
    <w:name w:val="LDTitle"/>
    <w:rsid w:val="004915F5"/>
    <w:pPr>
      <w:spacing w:before="480" w:after="480" w:line="240" w:lineRule="auto"/>
    </w:pPr>
    <w:rPr>
      <w:rFonts w:ascii="Arial" w:eastAsia="Times New Roman" w:hAnsi="Arial" w:cs="Times New Roman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9098">
          <w:blockQuote w:val="1"/>
          <w:marLeft w:val="46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nd.online.immi.gov.au/migration/2021-2024/2023/27-10-2023/acts/Pages/_document00000/_level%20100005/level%20200009.aspx" TargetMode="External"/><Relationship Id="rId13" Type="http://schemas.openxmlformats.org/officeDocument/2006/relationships/hyperlink" Target="https://legend.online.immi.gov.au/migration/2021-2024/2023/27-10-2023/acts/Pages/_document00000/_level%20100005/level%20200009.aspx" TargetMode="External"/><Relationship Id="rId18" Type="http://schemas.openxmlformats.org/officeDocument/2006/relationships/hyperlink" Target="https://legend.online.immi.gov.au/migration/2021-2024/2023/27-10-2023/acts/Pages/_document00000/_level%20100005/level%20200009.asp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hyperlink" Target="https://legend.online.immi.gov.au/migration/2021-2024/2023/27-10-2023/acts/Pages/_document00000/_level%20100005/level%20200009.aspx" TargetMode="External"/><Relationship Id="rId12" Type="http://schemas.openxmlformats.org/officeDocument/2006/relationships/hyperlink" Target="https://legend.online.immi.gov.au/migration/2021-2024/2023/27-10-2023/acts/Pages/_document00000/_Pop%20ups/PopUp-Period,-Manner-and-Evidence-of-Labour-Market-Testing.aspx" TargetMode="External"/><Relationship Id="rId17" Type="http://schemas.openxmlformats.org/officeDocument/2006/relationships/hyperlink" Target="https://legend.online.immi.gov.au/migration/2021-2024/2023/27-10-2023/acts/Pages/_document00000/_level%20100005/level%20200009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egend.online.immi.gov.au/migration/2021-2024/2023/27-10-2023/acts/Pages/_document00000/_level%20100005/level%20200009.aspx" TargetMode="External"/><Relationship Id="rId20" Type="http://schemas.openxmlformats.org/officeDocument/2006/relationships/hyperlink" Target="https://legend.online.immi.gov.au/migration/2021-2024/2023/27-10-2023/acts/Pages/_document00000/_level%20100005/level%20200009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gend.online.immi.gov.au/migration/2021-2024/2023/27-10-2023/acts/Pages/_document00000/_level%20100005/level%20200009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egend.online.immi.gov.au/migration/2021-2024/2023/27-10-2023/acts/Pages/_document00000/_Pop%20ups/PopUp-Period,-Manner-and-Evidence-of-Labour-Market-Testing.aspx" TargetMode="External"/><Relationship Id="rId10" Type="http://schemas.openxmlformats.org/officeDocument/2006/relationships/hyperlink" Target="https://legend.online.immi.gov.au/migration/2021-2024/2023/27-10-2023/acts/Pages/_document00000/_level%20100005/level%20200009.aspx" TargetMode="External"/><Relationship Id="rId19" Type="http://schemas.openxmlformats.org/officeDocument/2006/relationships/hyperlink" Target="https://legend.online.immi.gov.au/migration/2021-2024/2023/27-10-2023/acts/Pages/_document00000/_Pop%20ups/PopUp-Period,-Manner-and-Evidence-of-Labour-Market-Testing.aspx" TargetMode="External"/><Relationship Id="rId4" Type="http://schemas.openxmlformats.org/officeDocument/2006/relationships/styles" Target="styles.xml"/><Relationship Id="rId9" Type="http://schemas.openxmlformats.org/officeDocument/2006/relationships/hyperlink" Target="https://legend.online.immi.gov.au/migration/2021-2024/2023/27-10-2023/acts/Pages/_document00000/_level%20100005/level%20200009.aspx" TargetMode="External"/><Relationship Id="rId14" Type="http://schemas.openxmlformats.org/officeDocument/2006/relationships/hyperlink" Target="https://legend.online.immi.gov.au/migration/2021-2024/2023/27-10-2023/acts/Pages/_document00000/_level%20100005/level%20200009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11DA9991F934982A76EB9D58B1931" ma:contentTypeVersion="14" ma:contentTypeDescription="Create a new document." ma:contentTypeScope="" ma:versionID="b8813cdb61f2be298483a46f14ed01f9">
  <xsd:schema xmlns:xsd="http://www.w3.org/2001/XMLSchema" xmlns:xs="http://www.w3.org/2001/XMLSchema" xmlns:p="http://schemas.microsoft.com/office/2006/metadata/properties" xmlns:ns2="9342afd7-58d7-4add-96f6-f228d35ad549" xmlns:ns3="7df02489-0e3c-4d49-bcef-9470ab7e2d2a" targetNamespace="http://schemas.microsoft.com/office/2006/metadata/properties" ma:root="true" ma:fieldsID="a5d9449fd03dedd3d2d46ed2af595e29" ns2:_="" ns3:_="">
    <xsd:import namespace="9342afd7-58d7-4add-96f6-f228d35ad549"/>
    <xsd:import namespace="7df02489-0e3c-4d49-bcef-9470ab7e2d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2afd7-58d7-4add-96f6-f228d35ad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02489-0e3c-4d49-bcef-9470ab7e2d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74D7AA-5487-4E02-AB0C-FBAF86E28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2afd7-58d7-4add-96f6-f228d35ad549"/>
    <ds:schemaRef ds:uri="7df02489-0e3c-4d49-bcef-9470ab7e2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8069CE-686E-4EE3-B056-87AFF8B1B4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E07150-4DD3-4044-BBC3-0E44B7D613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Boccabella</dc:creator>
  <cp:keywords/>
  <dc:description/>
  <cp:lastModifiedBy>Lorenzo Boccabella</cp:lastModifiedBy>
  <cp:revision>2</cp:revision>
  <dcterms:created xsi:type="dcterms:W3CDTF">2023-10-26T23:04:00Z</dcterms:created>
  <dcterms:modified xsi:type="dcterms:W3CDTF">2023-10-27T11:52:00Z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0x010100A1D11DA9991F934982A76EB9D58B1931</vt:lpwstr>
  </property>
</Properties>
</file>